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pacing w:line="276" w:lineRule="auto"/>
        <w:ind w:firstLine="4820"/>
        <w:jc w:val="lef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«ПОГОДЖЕНО»</w:t>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pacing w:line="276" w:lineRule="auto"/>
        <w:ind w:firstLine="4820"/>
        <w:jc w:val="lef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Вчена рада історичного факультету</w:t>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pacing w:line="276" w:lineRule="auto"/>
        <w:ind w:firstLine="4820"/>
        <w:jc w:val="lef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Київського національного університету</w:t>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pacing w:line="276" w:lineRule="auto"/>
        <w:ind w:firstLine="4820"/>
        <w:jc w:val="lef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імені Тараса Шевченка</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pacing w:line="276" w:lineRule="auto"/>
        <w:jc w:val="lef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pacing w:line="276" w:lineRule="auto"/>
        <w:jc w:val="lef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ПОЛОЖЕННЯ</w:t>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000000"/>
          <w:sz w:val="28"/>
          <w:szCs w:val="28"/>
          <w:rtl w:val="0"/>
        </w:rPr>
        <w:t xml:space="preserve">про </w:t>
      </w:r>
      <w:r w:rsidDel="00000000" w:rsidR="00000000" w:rsidRPr="00000000">
        <w:rPr>
          <w:rFonts w:ascii="Times New Roman" w:cs="Times New Roman" w:eastAsia="Times New Roman" w:hAnsi="Times New Roman"/>
          <w:b w:val="1"/>
          <w:sz w:val="28"/>
          <w:szCs w:val="28"/>
          <w:rtl w:val="0"/>
        </w:rPr>
        <w:t xml:space="preserve">Конкурс студентських наукових робіт на тему: «Українське державотворення: політика, економіка, наука, культура» </w:t>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 190-річчя Київського національного університету </w:t>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імені Тараса Шевченка</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 Загальні положення</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 Положення визначає порядок організації та проведення Конкурсу студентських наукових робіт з історії на тему: «Українське державотворення: політика, економіка, наука, культура» до 190-річчя КНУ ім. Тараса Шевченка (далі – Конкурс).</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line="276" w:lineRule="auto"/>
        <w:ind w:left="0"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Конкурс проводиться з метою створення умов для розвитку інтелектуального потенціалу талановитої молоді, підтримки наукової та творчої роботи студентів, стимулювання їх інтересу до дослідницької роботи,   оволодіння ними інноваційними технологіями.</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line="276" w:lineRule="auto"/>
        <w:ind w:left="0"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 конкурсі можуть брати участь студенти, які здобувають вищу освіту за освітнім ступенем бакалавра у закладах вищої освіти України незалежно від форм власності та підпорядкування.</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line="276" w:lineRule="auto"/>
        <w:ind w:left="0"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Засновником конкурсу є історичний факультет університет імені Тараса Шевченка.</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line="276" w:lineRule="auto"/>
        <w:ind w:left="0"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Організаційно-методичне забезпечення Конкурсу здійснює історичний факультет Київського національного університету імені Тараса Шевченка. </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line="276" w:lineRule="auto"/>
        <w:ind w:left="0"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Контроль за організацією, проведенням та дотриманням вимог Положення здійснює Організаційний комітет та конкурсна комісія.</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line="276" w:lineRule="auto"/>
        <w:ind w:left="0"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Під час проведення Конкурсу обробка персональних даних здійснюється відповідно до вимог Закону України «Про захист персональних даних».</w:t>
      </w: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ІІ. Завдання конкурсу </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Основним завданням конкурсу є:</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Виявлення та розвиток обдарованих студентів, сприяння їх здібностей;</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Стимулювання творчого самовдосконалення студентської молоді;</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Популяризація досягнень науки та інноваційних технологій;</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Залучення провідних вчених, наукових, науково-педагогічних працівників до активної роботи з обдарованою студентською молоддю.</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сучасних підходів до викладення актуальних проблем історії України у загальносвітовому контексті;</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Дослідження етапів становлення Української державності на основі використання різноманітних джерел;</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Визначення актуальних малодосліджених тем з можливістю їх подальшого ґрунтовного вивчення.</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ІІІ. Вимоги до наукових робіт</w:t>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Конкурс подаються самостійно підготовлені наукові роботи студентів, які відповідають заявленій темі конкурсу - «Українське державотворення: політика, економіка, наука, культура». Наукові роботи повинні бути пошуковими за своїм характером, не мати нагород НАН України та органів державної влади, інших конкурсів.</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 наукова робота може мати не більше двох авторів за наявності у них спільних з темою наукової роботи матеріалів та одного наукового керівника. Якщо авторами наукової роботи є студенти з різних вищих навчальних закладів, можуть бути два наукові керівники з різних вищих навчальних закладів.</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Наукові роботи оформлюються відповідно до таких вимог:</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текст друкується шрифтом Times New Roman, міжрядковий інтервал 1.5, кегль 14, аркуш формату А4, поля: ліве - 30 мм, праве - 10 мм, верхнє і нижнє - по 20 мм;</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наукова робота повинна мати титульну сторінку на якій вказується ПІП автора (авторів), назва ЗВО, рік навчання (1-4 рік навчання ОС «Бакалавр»), назва наукової роботи. Робота має містити анотацію, у якій зазначено актуальність, мету, завдання, використану методику дослідження, вступ, основний текст, висновки, список використаної літератури.</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наукова робота обов’язково має містити посилання на джерела;</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загальний обсяг роботи не повинен перевищувати 15 сторінок без урахування додатків та переліку літературних джерел;</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наукові роботи подаються на електронних носіях.</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Наукові роботи виконуються українською мовою.</w:t>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Наукові роботи, подані на Конкурс з порушенням вимог цього розділу, до участі у Конкурсі не допускаються та за рішенням Організаційного комітету знімаються з розгляду.</w:t>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ІV. Проведення Конкурсу</w:t>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Конкурс проводиться в 3 етапи:</w:t>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 етап – конкурсна комісія перевіряє роботи на відповідність зазначеним п.3; </w:t>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ІІ етап – конкурсна комісія розглядає подані наукові роботи та здійснює їх рецензування (додаток). Одна робота рецензується трьома рецензентами.</w:t>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ІІІ етап – серед робіт, які були допущені до другого етапу, конкурсна комісія визначає переможців Конкурсу.</w:t>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Для організації та проведення І етапу Конкурсу на історичному факультеті КНУТШ створюється конкурсна комісія, на розгляд якої студенти подають свої наукові роботи.</w:t>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 складу конкурсної комісії входять наукові, науково-педагогічні працівники історичного факультету, кафедри історії Центральної та Східної Європи, кафедри новітньої історії України, кафедри давньої та нової історії, кафедри етнології та краєзнавства Київського національного університету імені Тараса Шевченка та представники Наукового товариства студентів історичного факультету Київського національного університету імені Тараса Шевченка.</w:t>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Головою конкурсної комісії призначається заступник декана історичного факультету Київського національного університету імені Тараса Шевченка  </w:t>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За результатами рецензування (ІІ етап) формується рейтинговий список наукових робіт (далі - рейтинговий список), який оприлюднюється не пізніше 1 квітня.</w:t>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Якщо під час рецензування наукової роботи буде виявлено ознаки академічного плагіату, конкурсна комісія окремо розглядає це питання і своїм рішенням: підтверджує факт академічного плагіату та знімає відповідну наукову роботу з Конкурсу з повідомленням учасника про цей факт; або ж не підтверджує факт академічного плагіату і допускає відповідну наукову роботу до подальшої участі у Конкурсі.</w:t>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Конкурсна комісія на своєму засіданні на підставі рецензій приймає рішення щодо визначення наукових робіт. Рішення конкурсної комісії приймається більшістю від її затвердженого складу. За рівної кількості голосів членів конкурсної комісії голос голови є вирішальним.</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Конкурсна комісія веде реєстр студентських наукових робіт з метою виключення можливості повторного подання їх на Конкурс.</w:t>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 Подання та розгляд апеляцій</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6" w:lineRule="auto"/>
        <w:ind w:left="36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Для забезпечення об’єктивного проведення ІІІ етапу Конкурсу на історичному факультеті КНУТШ створюється апеляційна комісія, чисельність і склад якої затверджуються розпорядженням в.о. декана історичного факультету  Київського національного університету імені Тараса Шевченка.</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2. Учасники Конкурсу можуть протягом трьох календарних днів після оприлюднення рейтингового списку подати заяву в письмовій формі апеляційній комісії щодо необ’єктивної оцінки їх наукової роботи.</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Апеляційна комісія протягом двох робочих днів з дня надходження заяви ухвалює рішення, що фіксується у протоколі засідання апеляційної комісії Конкурсу та надає його заявнику.</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Забороняється втручання наукових керівників, батьків учасників та інших осіб у процедуру проведення Конкурсу та розгляду апеляцій.</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ind w:left="360"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VI. Визначення та нагородження переможців Конкурсу</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ind w:left="36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Після проведення підсумків конкурсна комісія підбиває підсумки  Конкурсу та приймає рішення про визначення переможців Конкурсу, загальна кількість яких не може перевищувати 25 % від загальної кількості авторів наукових робіт, та нагородження їх дипломами: І ступеня - до 20%, ІІ ступеня - до 80%</w:t>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Наукові роботи переможців Конкурсу І ступеня будуть надруковані у фахових наукових виданнях Київського національного університету імені Тараса Шевченка.</w:t>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Наукові роботи переможців  Конкурсу ІІ ступеня  можуть бути розміщені на сайті історичного факультету Київського національного університету імені Тараса Шевченка та інших зацікавлених організацій.</w:t>
      </w:r>
    </w:p>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За рішенням конкурсної комісії та Вченої ради історичного факультету Київського національного університету імені Тараса Шевченка роботи другого етапу конкурсу будуть розміщені у збірнику Всеукраїнського конкурсу студентських наукових робіт на тему: «Українське державотворення: політика, економіка, наука, культура» до 190-річчя КНУ ім. Тараса Шевченка.</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VI. Фінансування конкурсу</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Фінансування Конкурсу може здійснюватися з джерел громадських організацій, фондів, благодійних внесків, а також інших джерел, не заборонених законодавством.</w:t>
      </w:r>
    </w:p>
    <w:p w:rsidR="00000000" w:rsidDel="00000000" w:rsidP="00000000" w:rsidRDefault="00000000" w:rsidRPr="00000000" w14:paraId="0000005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0" w:right="279"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0" w:right="279"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0" w:right="279"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до Положення</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Всеукраїнський конкурс студентських наукових робіт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тему: «Українське державотворення: політика,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економіка, наука, культура»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РЕЦЕНЗІЯ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наукову роботу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___________________________________________________________________________</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представлену на Конкурс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ind w:right="279"/>
        <w:rPr>
          <w:rFonts w:ascii="Times New Roman" w:cs="Times New Roman" w:eastAsia="Times New Roman" w:hAnsi="Times New Roman"/>
          <w:sz w:val="24"/>
          <w:szCs w:val="24"/>
        </w:rPr>
      </w:pPr>
      <w:r w:rsidDel="00000000" w:rsidR="00000000" w:rsidRPr="00000000">
        <w:rPr>
          <w:rtl w:val="0"/>
        </w:rPr>
      </w:r>
    </w:p>
    <w:tbl>
      <w:tblPr>
        <w:tblStyle w:val="Table1"/>
        <w:tblW w:w="9854.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5263"/>
        <w:gridCol w:w="2693"/>
        <w:gridCol w:w="1071"/>
        <w:tblGridChange w:id="0">
          <w:tblGrid>
            <w:gridCol w:w="828"/>
            <w:gridCol w:w="5263"/>
            <w:gridCol w:w="2693"/>
            <w:gridCol w:w="1071"/>
          </w:tblGrid>
        </w:tblGridChange>
      </w:tblGrid>
      <w:tr>
        <w:trPr>
          <w:cantSplit w:val="0"/>
          <w:tblHeader w:val="0"/>
        </w:trPr>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з/п</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Характеристики та критерії оцінки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рукопису наукової роботи</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Рейтингова оцінка. Максимальна кількість балів (за 100-бальною шкалою)</w:t>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Бали</w:t>
            </w:r>
          </w:p>
        </w:tc>
      </w:tr>
      <w:tr>
        <w:trPr>
          <w:cantSplit w:val="0"/>
          <w:tblHeader w:val="0"/>
        </w:trPr>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Актуальність проблеми</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Новизна та оригінальність ідей</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Використані методи дослідження</w:t>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Теоретичні наукові результати</w:t>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Практична направленість результатів </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Рівень використання наукової літератури та інших джерел інформації</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Ступінь самостійності роботи</w: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Якість оформлення</w:t>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Недоліки роботи (пояснення зниження максимальних балів у пунктах 1-9):</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Сума балів</w:t>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Загальний висновок _____________________________________________________</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Рецензент ________   ____________________________________________________</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(підпис)</w:t>
        <w:tab/>
        <w:tab/>
        <w:tab/>
        <w:tab/>
        <w:t xml:space="preserve">(П.І.Б., посада, науковий ступінь)</w:t>
        <w:tab/>
        <w:tab/>
        <w:tab/>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 2024 року</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spacing w:line="276" w:lineRule="auto"/>
        <w:rPr>
          <w:rFonts w:ascii="Times New Roman" w:cs="Times New Roman" w:eastAsia="Times New Roman" w:hAnsi="Times New Roman"/>
          <w:sz w:val="28"/>
          <w:szCs w:val="28"/>
        </w:rPr>
      </w:pPr>
      <w:r w:rsidDel="00000000" w:rsidR="00000000" w:rsidRPr="00000000">
        <w:rPr>
          <w:rtl w:val="0"/>
        </w:rPr>
      </w:r>
    </w:p>
    <w:sectPr>
      <w:pgSz w:h="16838" w:w="11906" w:orient="portrait"/>
      <w:pgMar w:bottom="851" w:top="851" w:left="1418"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Batang"/>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1"/>
        <w:color w:val="000000"/>
        <w:sz w:val="28"/>
        <w:szCs w:val="28"/>
      </w:rPr>
    </w:lvl>
    <w:lvl w:ilvl="1">
      <w:start w:val="1"/>
      <w:numFmt w:val="decimal"/>
      <w:lvlText w:val="%2."/>
      <w:lvlJc w:val="left"/>
      <w:pPr>
        <w:ind w:left="360" w:hanging="360"/>
      </w:pPr>
      <w:rPr>
        <w:rFonts w:ascii="Times New Roman" w:cs="Times New Roman" w:eastAsia="Times New Roman" w:hAnsi="Times New Roman"/>
        <w:b w:val="0"/>
        <w:color w:val="000000"/>
        <w:sz w:val="28"/>
        <w:szCs w:val="28"/>
      </w:rPr>
    </w:lvl>
    <w:lvl w:ilvl="2">
      <w:start w:val="1"/>
      <w:numFmt w:val="decimal"/>
      <w:lvlText w:val="%1.%2.%3."/>
      <w:lvlJc w:val="left"/>
      <w:pPr>
        <w:ind w:left="720" w:hanging="720"/>
      </w:pPr>
      <w:rPr>
        <w:rFonts w:ascii="Arial" w:cs="Arial" w:eastAsia="Arial" w:hAnsi="Arial"/>
        <w:b w:val="1"/>
        <w:color w:val="000000"/>
        <w:sz w:val="24"/>
        <w:szCs w:val="24"/>
      </w:rPr>
    </w:lvl>
    <w:lvl w:ilvl="3">
      <w:start w:val="1"/>
      <w:numFmt w:val="decimal"/>
      <w:lvlText w:val="%1.%2.%3.%4."/>
      <w:lvlJc w:val="left"/>
      <w:pPr>
        <w:ind w:left="720" w:hanging="720"/>
      </w:pPr>
      <w:rPr>
        <w:rFonts w:ascii="Arial" w:cs="Arial" w:eastAsia="Arial" w:hAnsi="Arial"/>
        <w:b w:val="1"/>
        <w:color w:val="000000"/>
        <w:sz w:val="24"/>
        <w:szCs w:val="24"/>
      </w:rPr>
    </w:lvl>
    <w:lvl w:ilvl="4">
      <w:start w:val="1"/>
      <w:numFmt w:val="decimal"/>
      <w:lvlText w:val="%1.%2.%3.%4.%5."/>
      <w:lvlJc w:val="left"/>
      <w:pPr>
        <w:ind w:left="1080" w:hanging="1080"/>
      </w:pPr>
      <w:rPr>
        <w:rFonts w:ascii="Arial" w:cs="Arial" w:eastAsia="Arial" w:hAnsi="Arial"/>
        <w:b w:val="1"/>
        <w:color w:val="000000"/>
        <w:sz w:val="24"/>
        <w:szCs w:val="24"/>
      </w:rPr>
    </w:lvl>
    <w:lvl w:ilvl="5">
      <w:start w:val="1"/>
      <w:numFmt w:val="decimal"/>
      <w:lvlText w:val="%1.%2.%3.%4.%5.%6."/>
      <w:lvlJc w:val="left"/>
      <w:pPr>
        <w:ind w:left="1080" w:hanging="1080"/>
      </w:pPr>
      <w:rPr>
        <w:rFonts w:ascii="Arial" w:cs="Arial" w:eastAsia="Arial" w:hAnsi="Arial"/>
        <w:b w:val="1"/>
        <w:color w:val="000000"/>
        <w:sz w:val="24"/>
        <w:szCs w:val="24"/>
      </w:rPr>
    </w:lvl>
    <w:lvl w:ilvl="6">
      <w:start w:val="1"/>
      <w:numFmt w:val="decimal"/>
      <w:lvlText w:val="%1.%2.%3.%4.%5.%6.%7."/>
      <w:lvlJc w:val="left"/>
      <w:pPr>
        <w:ind w:left="1440" w:hanging="1440"/>
      </w:pPr>
      <w:rPr>
        <w:rFonts w:ascii="Arial" w:cs="Arial" w:eastAsia="Arial" w:hAnsi="Arial"/>
        <w:b w:val="1"/>
        <w:color w:val="000000"/>
        <w:sz w:val="24"/>
        <w:szCs w:val="24"/>
      </w:rPr>
    </w:lvl>
    <w:lvl w:ilvl="7">
      <w:start w:val="1"/>
      <w:numFmt w:val="decimal"/>
      <w:lvlText w:val="%1.%2.%3.%4.%5.%6.%7.%8."/>
      <w:lvlJc w:val="left"/>
      <w:pPr>
        <w:ind w:left="1440" w:hanging="1440"/>
      </w:pPr>
      <w:rPr>
        <w:rFonts w:ascii="Arial" w:cs="Arial" w:eastAsia="Arial" w:hAnsi="Arial"/>
        <w:b w:val="1"/>
        <w:color w:val="000000"/>
        <w:sz w:val="24"/>
        <w:szCs w:val="24"/>
      </w:rPr>
    </w:lvl>
    <w:lvl w:ilvl="8">
      <w:start w:val="1"/>
      <w:numFmt w:val="decimal"/>
      <w:lvlText w:val="%1.%2.%3.%4.%5.%6.%7.%8.%9."/>
      <w:lvlJc w:val="left"/>
      <w:pPr>
        <w:ind w:left="1800" w:hanging="1800"/>
      </w:pPr>
      <w:rPr>
        <w:rFonts w:ascii="Arial" w:cs="Arial" w:eastAsia="Arial" w:hAnsi="Arial"/>
        <w:b w:val="1"/>
        <w:color w:val="000000"/>
        <w:sz w:val="24"/>
        <w:szCs w:val="24"/>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bullet"/>
      <w:lvlText w:val="-"/>
      <w:lvlJc w:val="left"/>
      <w:pPr>
        <w:ind w:left="927" w:hanging="360"/>
      </w:pPr>
      <w:rPr>
        <w:rFonts w:ascii="Times New Roman" w:cs="Times New Roman" w:eastAsia="Times New Roman" w:hAnsi="Times New Roman"/>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atang" w:cs="Batang" w:eastAsia="Batang" w:hAnsi="Batang"/>
        <w:lang w:val="uk-UA"/>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